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83078B"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3078B" w:rsidRPr="0083078B">
        <w:rPr>
          <w:rFonts w:ascii="Times New Roman" w:hAnsi="Times New Roman"/>
          <w:sz w:val="28"/>
          <w:szCs w:val="28"/>
        </w:rPr>
        <w:t>3</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D4538F" w:rsidRDefault="00D4538F" w:rsidP="00D4538F">
      <w:pPr>
        <w:spacing w:after="0" w:line="240" w:lineRule="auto"/>
        <w:jc w:val="right"/>
        <w:rPr>
          <w:rFonts w:ascii="Times New Roman" w:hAnsi="Times New Roman"/>
          <w:sz w:val="28"/>
          <w:szCs w:val="28"/>
        </w:rPr>
      </w:pPr>
      <w:r>
        <w:rPr>
          <w:rFonts w:ascii="Times New Roman" w:hAnsi="Times New Roman"/>
          <w:sz w:val="28"/>
          <w:szCs w:val="28"/>
        </w:rPr>
        <w:t>от 08.02.2022 № 51</w:t>
      </w:r>
    </w:p>
    <w:p w:rsidR="00124ADA" w:rsidRDefault="00124ADA" w:rsidP="00E619A7">
      <w:pPr>
        <w:spacing w:after="0" w:line="240" w:lineRule="auto"/>
        <w:jc w:val="right"/>
        <w:rPr>
          <w:rFonts w:ascii="Times New Roman" w:hAnsi="Times New Roman"/>
          <w:sz w:val="28"/>
          <w:szCs w:val="28"/>
        </w:rPr>
      </w:pPr>
    </w:p>
    <w:p w:rsidR="00A25BD3" w:rsidRPr="0083078B" w:rsidRDefault="00640B60"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B275EF" w:rsidRDefault="00B275EF" w:rsidP="00B275EF">
      <w:pPr>
        <w:spacing w:after="0" w:line="240" w:lineRule="auto"/>
        <w:rPr>
          <w:rFonts w:ascii="Times New Roman" w:hAnsi="Times New Roman"/>
          <w:color w:val="000000"/>
          <w:szCs w:val="24"/>
        </w:rPr>
      </w:pPr>
    </w:p>
    <w:p w:rsidR="00B275EF" w:rsidRPr="00E96934" w:rsidRDefault="00B275EF" w:rsidP="00B275EF">
      <w:pPr>
        <w:spacing w:after="0" w:line="240" w:lineRule="auto"/>
        <w:rPr>
          <w:rFonts w:ascii="Times New Roman" w:hAnsi="Times New Roman"/>
          <w:color w:val="000000"/>
          <w:szCs w:val="24"/>
        </w:rPr>
      </w:pPr>
      <w:bookmarkStart w:id="0" w:name="_GoBack"/>
      <w:bookmarkEnd w:id="0"/>
      <w:r w:rsidRPr="00E96934">
        <w:rPr>
          <w:rFonts w:ascii="Times New Roman" w:hAnsi="Times New Roman"/>
          <w:color w:val="000000"/>
          <w:szCs w:val="24"/>
        </w:rPr>
        <w:t>(в ред. решения Думы города от 08.02.2022 № 51)</w:t>
      </w:r>
    </w:p>
    <w:p w:rsidR="00B275EF" w:rsidRPr="00E96934" w:rsidRDefault="00B275EF" w:rsidP="00B275EF">
      <w:pPr>
        <w:spacing w:after="0" w:line="240" w:lineRule="auto"/>
        <w:rPr>
          <w:rFonts w:ascii="Times New Roman" w:hAnsi="Times New Roman"/>
          <w:color w:val="000000"/>
          <w:szCs w:val="24"/>
        </w:rPr>
      </w:pPr>
      <w:r w:rsidRPr="00E96934">
        <w:rPr>
          <w:rFonts w:ascii="Times New Roman" w:hAnsi="Times New Roman"/>
          <w:color w:val="000000"/>
          <w:szCs w:val="24"/>
        </w:rPr>
        <w:t xml:space="preserve">(см. текст в предыдущей </w:t>
      </w:r>
      <w:hyperlink r:id="rId7" w:history="1">
        <w:r w:rsidRPr="00E96934">
          <w:rPr>
            <w:rStyle w:val="a3"/>
            <w:rFonts w:ascii="Times New Roman" w:hAnsi="Times New Roman"/>
            <w:szCs w:val="24"/>
          </w:rPr>
          <w:t>редакции</w:t>
        </w:r>
      </w:hyperlink>
      <w:r w:rsidRPr="00E96934">
        <w:rPr>
          <w:rFonts w:ascii="Times New Roman" w:hAnsi="Times New Roman"/>
          <w:color w:val="000000"/>
          <w:szCs w:val="24"/>
        </w:rPr>
        <w:t>)</w:t>
      </w:r>
    </w:p>
    <w:p w:rsidR="00A25BD3" w:rsidRPr="00B275EF" w:rsidRDefault="00A25BD3" w:rsidP="00B275EF">
      <w:pPr>
        <w:spacing w:after="0" w:line="240" w:lineRule="auto"/>
        <w:rPr>
          <w:rFonts w:ascii="Times New Roman" w:hAnsi="Times New Roman"/>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2"/>
        <w:gridCol w:w="1411"/>
        <w:gridCol w:w="563"/>
        <w:gridCol w:w="1264"/>
      </w:tblGrid>
      <w:tr w:rsidR="00274E4C" w:rsidRPr="00274E4C" w:rsidTr="00274E4C">
        <w:trPr>
          <w:cantSplit/>
          <w:trHeight w:val="20"/>
          <w:tblHeader/>
        </w:trPr>
        <w:tc>
          <w:tcPr>
            <w:tcW w:w="345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Наименование</w:t>
            </w:r>
          </w:p>
        </w:tc>
        <w:tc>
          <w:tcPr>
            <w:tcW w:w="663"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ЦСР</w:t>
            </w:r>
          </w:p>
        </w:tc>
        <w:tc>
          <w:tcPr>
            <w:tcW w:w="275"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ВР</w:t>
            </w:r>
          </w:p>
        </w:tc>
        <w:tc>
          <w:tcPr>
            <w:tcW w:w="61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color w:val="000000"/>
                <w:sz w:val="20"/>
                <w:szCs w:val="20"/>
              </w:rPr>
            </w:pPr>
            <w:r w:rsidRPr="00274E4C">
              <w:rPr>
                <w:rFonts w:ascii="Times New Roman" w:eastAsia="Times New Roman" w:hAnsi="Times New Roman"/>
                <w:color w:val="000000"/>
                <w:sz w:val="20"/>
                <w:szCs w:val="20"/>
              </w:rPr>
              <w:t>Сумма на год</w:t>
            </w:r>
          </w:p>
        </w:tc>
      </w:tr>
      <w:tr w:rsidR="00274E4C" w:rsidRPr="00274E4C" w:rsidTr="00274E4C">
        <w:trPr>
          <w:cantSplit/>
          <w:trHeight w:val="20"/>
          <w:tblHeader/>
        </w:trPr>
        <w:tc>
          <w:tcPr>
            <w:tcW w:w="345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w:t>
            </w:r>
          </w:p>
        </w:tc>
        <w:tc>
          <w:tcPr>
            <w:tcW w:w="663"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w:t>
            </w:r>
          </w:p>
        </w:tc>
        <w:tc>
          <w:tcPr>
            <w:tcW w:w="275"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w:t>
            </w:r>
          </w:p>
        </w:tc>
        <w:tc>
          <w:tcPr>
            <w:tcW w:w="611" w:type="pct"/>
            <w:shd w:val="clear" w:color="auto" w:fill="auto"/>
            <w:vAlign w:val="center"/>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образования в городе Пыть-Яхе</w:t>
            </w:r>
            <w:r w:rsid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01 0 00 00000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1 990 915,1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Общее образование. Дополнительное образование детей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1 668 464,6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системы дошкольного и общего образования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2 558,0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2 365,5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1 605 178,3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249 696,5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249 696,5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66 992,6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182 703,9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21 188,1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21 188,1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17 674,7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01 1 05 20010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3 513,4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35 779,0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35 779,0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30 800,1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01 1 05 53030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4 978,9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414 209,7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844 601,4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844 601,4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624 607,3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01 1 05 84303</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219 994,1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39 703,6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39 703,6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29 836,8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05 L3040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9 866,8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летнего отдыха и оздоровления детей и молодежи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13 399,8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организации отдыха и оздоровления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2 514,4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2 514,4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01 1 06 20020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8 708,3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8 708,3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5 757,0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01 1 06 82050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2 951,3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06 S2050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737,8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Муниципальная составляющая регионального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Успех каждого ребенка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46 378,5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28 437,9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28 437,9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24 879,7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17 940,6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Муниципальная составляющая регионального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Цифровая образовательная среда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1 E4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Молодежь Югры и допризывная подготовка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117 045,9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реализации государственной молодежной политики в городе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38 475,4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72 919,5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Муниципальная составляющая регионального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Социальная активность</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61810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5 361,0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3 E8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Ресурсное обеспечение в сфере образования, науки и молодежной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205 404,6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137 024,4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99 540,0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99 540,0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84 112,0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15 428,0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26 529,0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1 551,4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1 551,4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24 891,0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01 4 01 84080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10 955,4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9 408,8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1 930,0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7 478,8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58 971,4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58 971,4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26 890,9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26 890,9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32 080,5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28 630,5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01 4 03 99990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3 450,0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Социальное и демографическое развитие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02 0 00 00000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81 286,0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семьи, материнства и детства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67 707,5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61 990,6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27 334,0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26 775,9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26 775,9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19 766,4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деятельности по опеке и попечительству</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14 890,2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12 569,5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12 569,5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1 573,6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1 573,6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02 1 01 84320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Популяризация семейных ценностей и защита интересов детей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5 716,9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5 716,9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5 023,9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5 023,9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02 1 02 84270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мер социальной поддержки отдельных категорий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13 508,5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уровня материального обеспечения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9 247,3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Пенсии за выслугу лет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02 2 01 71010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8 511,3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Денежные выплаты почетным гражданам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социальные выплаты гражданам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02 2 01 72010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социальных гарантий отдельных категорий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4 261,2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4 071,2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социальные выплаты гражданам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02 2 02 72040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общественного здоровья населения города Пыть-Яха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Премии и гранты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02 3 01 99990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Культурное пространство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03 0 00 00000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247 105,5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Модернизация и развитие учреждений и организаций культуры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84 420,1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библиотечного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72 818,4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72 259,0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03 1 03 82520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Государственная поддержка отрасли культуры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L5190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188,9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03 S2520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музейного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11 601,7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Культурная среда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Культура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55190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Техническое оснащение муниципальных музеев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1 A1 55900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творческих инициатив, способствующих самореализации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161 319,8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одаренных детей и молодежи, развитие художественного образования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74 216,7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профессионального искусства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Стимулирование культурного разнообразия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86 853,1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единой государственной политики в сфере культуры и архивного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архивного дела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03 3 02 84100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социально-ориентированных некоммерческих организаций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03 4 01 00590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961,4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физической культуры и спорта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04 0 00 00000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525 689,5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физической культуры, массового и детского-юношеского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412 859,0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930,1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33 028,8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2 256,3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375 284,4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Строительство и реконструкция объектов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345 596,2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сети спортивных объектов шаговой доступности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04 1 06 82130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912,4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28 727,7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06 S2130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Спорт-норма жизни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1 P5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спорта высших достижений и системы подготовки спортивного резерва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112 550,6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и проведение официальных спортивных мероприятий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2 914,6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04 2 04 00590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87 641,4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04 2 05 00590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13 265,8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3 244,8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04 2 06 82110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3 082,5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06 S2110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материально-технической базы учреждений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4 875,6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4 875,6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4 867,5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4 867,5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Спорт-норма жизни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2 P5 50810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социально-ориентированных некоммерческих организаций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04 3 01 61830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04 4 01 00590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249,9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Поддержка занятости населения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05 0 00 00000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12 292,5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трудоустройству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3 079,4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занятости молодежи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05 1 02 85060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2 524,6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Улучшение условий и охраны труда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9 067,7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7 846,0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6 156,4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1 522,7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1 522,7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05 2 01 84120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1 221,7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1 221,7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1 158,6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бюджетным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843,3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содействию трудоустройству граждан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05 3 01 85060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145,4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агропромышленного комплекса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06 0 00 00000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14 277,1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отрасли животноводства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животноводства, производства и реализации продукции животноводства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Поддержка и развитие животноводства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06 1 01 84350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10 600,6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3 522,5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06 2 01 84200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2 01 G4200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Общепрограммные мероприятия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общих условий функционирования и развития сельского хозяйства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06 3 01 99990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135,0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жилищной сферы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07 0 00 00000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64 643,2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Комплексное развитие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18 120,4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мероприятий по градостроительной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Мероприятия по градостроительной деятельности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07 1 02 82761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9 768,1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521,0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02 S2761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735,2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6 096,1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07 1 04 82762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5 669,3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04 S2762</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426,8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07 1 05 99990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19 817,2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12 214,3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ветеранах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07 2 01 51350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9 780,2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социальной защите инвалидов в Российской Федерации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07 2 01 51760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2 434,1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жильем молодых семей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по обеспечению жильем молодых семей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02 L4970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7 591,5 </w:t>
            </w:r>
          </w:p>
        </w:tc>
      </w:tr>
      <w:tr w:rsidR="00274E4C" w:rsidRPr="00274E4C" w:rsidTr="00274E4C">
        <w:trPr>
          <w:cantSplit/>
          <w:trHeight w:val="20"/>
        </w:trPr>
        <w:tc>
          <w:tcPr>
            <w:tcW w:w="3451" w:type="pct"/>
            <w:shd w:val="clear" w:color="auto" w:fill="auto"/>
            <w:hideMark/>
          </w:tcPr>
          <w:p w:rsidR="00274E4C" w:rsidRPr="00274E4C" w:rsidRDefault="00274E4C" w:rsidP="00640B60">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 36-оз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Реализация полномочий, указанных в пунктах 3.1, 3.2 статьи 2 Закона Ханты-Мансийского автономного округа – Югры от 31 марта 2009 года № 36-оз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07 2 04 84220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Организационное обеспечение деятельности МКУ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капитального строительства города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26 705,6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23 266,1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23 266,1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3 139,5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3 139,5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07 3 01 00590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Жилищно-коммунальный комплекс и городская среда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08 0 00 00000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142 184,3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обеспечения качественными коммунальными услугами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Строительство и реконструкция объектов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Бюджетные инвестиции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08 1 02 42110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23 886,5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16 472,0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16 472,0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08 3 01 82591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14 001,2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3 01 S2591</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2 470,8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комфортной городской среды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101 825,8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Благоустройство городских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88 378,8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комфортной городской среды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программ формирования современной городской среды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08 6 F2 55550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13 447,0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Профилактика правонарушений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09 0 00 00000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3 650,8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Профилактика правонарушений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3 405,8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1 437,0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деятельности народных дружин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Создание условий для деятельности народных дружин</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09 1 02 82300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02 S2300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1 758,7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 административных правонарушениях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1 758,7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1 659,2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1 659,2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09 1 03 84250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99,5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09 1 04 51200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Тематическая социальная реклама в сфере безопасности дорожного движения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всероссийского Дня трезвости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информационной антинаркотической политики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09 2 02 99990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245,0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10 0 00 00000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08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1 12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04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10 2 05 82560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 2 05 S2560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Безопасность жизнедеятельности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11 0 00 00000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23 119,0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2 165,2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Переподготовка и повышение квалификации работников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2 023,2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Укрепление пожарной безопасности в городе Пыть-Яхе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2 199,0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противопожарной защиты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2 199,0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Материально-техническое и финансовое обеспечение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Финансовое обеспечение осуществления МКУ </w:t>
            </w:r>
            <w:r w:rsidR="00640B60">
              <w:rPr>
                <w:rFonts w:ascii="Times New Roman" w:eastAsia="Times New Roman" w:hAnsi="Times New Roman"/>
                <w:sz w:val="20"/>
                <w:szCs w:val="20"/>
              </w:rPr>
              <w:t>«</w:t>
            </w:r>
            <w:r w:rsidRPr="00274E4C">
              <w:rPr>
                <w:rFonts w:ascii="Times New Roman" w:eastAsia="Times New Roman" w:hAnsi="Times New Roman"/>
                <w:sz w:val="20"/>
                <w:szCs w:val="20"/>
              </w:rPr>
              <w:t>ЕДДС города Пыть-Яха</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 установленных видов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18 754,8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15 487,9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15 487,9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3 266,9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11 3 01 00590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3 266,9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Экологическая безопасность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12 0 00 00000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7 301,1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967,0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Спасти и сохранить</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397,0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Участие в окружном конкурсе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3 111,0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12 2 01 84290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916,0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12 2 04 99990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2 100,0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противоэпидемиологических мероприятий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3 189,1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12 3 01 84280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3 189,1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экономического потенциала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13 0 00 00000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малого и среднего предпринимательства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3 224,1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Пропаганда и популяризация предпринимательской деятельности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легкого старта и комфортного ведения бизнеса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304,7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82320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I4 S2320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Региональный проект </w:t>
            </w:r>
            <w:r w:rsidR="00640B60">
              <w:rPr>
                <w:rFonts w:ascii="Times New Roman" w:eastAsia="Times New Roman" w:hAnsi="Times New Roman"/>
                <w:sz w:val="20"/>
                <w:szCs w:val="20"/>
              </w:rPr>
              <w:t>«</w:t>
            </w:r>
            <w:r w:rsidRPr="00274E4C">
              <w:rPr>
                <w:rFonts w:ascii="Times New Roman" w:eastAsia="Times New Roman" w:hAnsi="Times New Roman"/>
                <w:sz w:val="20"/>
                <w:szCs w:val="20"/>
              </w:rPr>
              <w:t>Акселерация субъектов малого и среднего предпринимательства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2 665,9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82380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2 532,6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2 I5 S2380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133,3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защиты прав потребителей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Правовое просвещение и информирование в сфере защиты прав потребителей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13 3 01 99990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56,0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Цифровое развитие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14 0 00 00000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9 510,1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Цифровой город</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7 434,9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78,0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14 1 02 20070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4 305,1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14 1 03 20070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3 051,8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устойчивой информационно-телекоммуникационной инфраструктуры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Услуги в области информационных технологий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14 2 01 20070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2 075,2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Современная транспортная система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15 0 00 00000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188 153,5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Автомобильный транспорт</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76 000,0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Дорожное хозяйство</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90 895,3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65 280,1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15 2 03 99990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25 615,2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Безопасность дорожного движения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1 258,2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безопасности движения на автомобильных дорогах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15 3 02 99990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20 000,0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Управление муниципальными финансами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16 0 00 00000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26 305,6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муниципальными финансами</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муниципальным долгом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Процентные платежи по муниципальному долгу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Обслуживание государственного (муниципального) долга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700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Обслуживание муниципального долга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16 1 02 20270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730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3 369,0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резервных средств в бюджете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22 936,6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Формирование в бюджете города резервного фонда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Резервный фонд администрации города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16 2 01 20220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2 500,0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16 2 02 99990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20 436,6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гражданского общества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17 0 00 00000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38 722,5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развития гражданских инициатив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7 988,1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17 1 01 61820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2 924,0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30 734,4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открытости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функционирования телерадиовещания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23 433,1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Новая Северная газета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17 2 03 00590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7 251,9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Управление муниципальным имуществом города Пыть-Яха</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18 0 00 00000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66 428,5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эффективности системы управления муниципальным имуществом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58 856,2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Управление и распоряжение муниципальным имуществом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6 176,5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надлежащего уровня эксплуатации муниципального имущества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51 862,9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50 862,9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50 792,9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50 792,9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Проведение мероприятий по землеустройству и землепользованию</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816,8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Ресурсное обеспечение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Обесперение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18 2 01 99990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7 572,3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Развитие муниципальной службы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19 0 00 00000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503 168,8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эффективности муниципального 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1 072,0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Премии и гранты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19 1 03 99990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1 012,0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573,7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573,7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438,3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502 096,8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496 815,6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207 863,8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172 046,8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казенных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172 046,8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35 625,0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35 625,0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192,0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5 537,7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280 112,1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279 007,7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279 007,7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1 104,4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1 104,4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Прочие мероприятия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2 300,2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2 034,2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2 034,2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266,0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1 001,8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выплаты гражданам несоциального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19 2 01 72030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5 281,2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19 2 02 59300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4 039,6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1 241,6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927,1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927,1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19 2 02 D9300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314,5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Содержание городских территорий, озеленение и благоустройство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20 0 00 00000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80 364,1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освещения улиц, микрорайонов города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17 980,4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Предоставление субсидий организациям в соответствии с концессионными соглашениями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20 0 01 61200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11 023,6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6 956,8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20 0 02 99990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5 271,7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Содержание мест захоронения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20 0 03 00590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10 230,2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6 177,7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Зимнее и летнее содержание городских территорий</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20 0 06 99990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34 874,4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5 734,8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20 0 07 61100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810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1 250,3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20 0 07 99990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4 484,5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Повышение уровня культуры населения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20 0 08 99990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95,0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 xml:space="preserve">Муниципальная программа </w:t>
            </w:r>
            <w:r w:rsidR="00640B60" w:rsidRPr="00640B60">
              <w:rPr>
                <w:rFonts w:ascii="Times New Roman" w:eastAsia="Times New Roman" w:hAnsi="Times New Roman"/>
                <w:bCs/>
                <w:sz w:val="20"/>
                <w:szCs w:val="20"/>
              </w:rPr>
              <w:t>«</w:t>
            </w:r>
            <w:r w:rsidRPr="00640B60">
              <w:rPr>
                <w:rFonts w:ascii="Times New Roman" w:eastAsia="Times New Roman" w:hAnsi="Times New Roman"/>
                <w:bCs/>
                <w:sz w:val="20"/>
                <w:szCs w:val="20"/>
              </w:rPr>
              <w:t>Устойчивое развитие коренных малочисленных народов Севера в городе Пыть-Яхе</w:t>
            </w:r>
            <w:r w:rsidR="00640B60" w:rsidRPr="00640B60">
              <w:rPr>
                <w:rFonts w:ascii="Times New Roman" w:eastAsia="Times New Roman" w:hAnsi="Times New Roman"/>
                <w:bCs/>
                <w:sz w:val="20"/>
                <w:szCs w:val="20"/>
              </w:rPr>
              <w:t>»</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21 0 00 00000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2 120,7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1 235,0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21 1 02 00590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94,6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21 1 04 99990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1 110,4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Подпрограмма </w:t>
            </w:r>
            <w:r w:rsidR="00640B60">
              <w:rPr>
                <w:rFonts w:ascii="Times New Roman" w:eastAsia="Times New Roman" w:hAnsi="Times New Roman"/>
                <w:sz w:val="20"/>
                <w:szCs w:val="20"/>
              </w:rPr>
              <w:t>«</w:t>
            </w:r>
            <w:r w:rsidRPr="00274E4C">
              <w:rPr>
                <w:rFonts w:ascii="Times New Roman" w:eastAsia="Times New Roman" w:hAnsi="Times New Roman"/>
                <w:sz w:val="20"/>
                <w:szCs w:val="20"/>
              </w:rPr>
              <w:t>Развитие туризма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Основное мероприятие </w:t>
            </w:r>
            <w:r w:rsidR="00640B60">
              <w:rPr>
                <w:rFonts w:ascii="Times New Roman" w:eastAsia="Times New Roman" w:hAnsi="Times New Roman"/>
                <w:sz w:val="20"/>
                <w:szCs w:val="20"/>
              </w:rPr>
              <w:t>«</w:t>
            </w:r>
            <w:r w:rsidRPr="00274E4C">
              <w:rPr>
                <w:rFonts w:ascii="Times New Roman" w:eastAsia="Times New Roman" w:hAnsi="Times New Roman"/>
                <w:sz w:val="20"/>
                <w:szCs w:val="20"/>
              </w:rPr>
              <w:t>Поддержка развития внутреннего и въездного туризма</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Реализация мероприятий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Субсидии автономным учреждениям</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21 2 01 99990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620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885,7 </w:t>
            </w:r>
          </w:p>
        </w:tc>
      </w:tr>
      <w:tr w:rsidR="00274E4C" w:rsidRPr="00640B60" w:rsidTr="00274E4C">
        <w:trPr>
          <w:cantSplit/>
          <w:trHeight w:val="20"/>
        </w:trPr>
        <w:tc>
          <w:tcPr>
            <w:tcW w:w="3451" w:type="pct"/>
            <w:shd w:val="clear" w:color="auto" w:fill="auto"/>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Непрограммные направления деятельности</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40 0 00 00000</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 xml:space="preserve">31 271,9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Непрограммное направление деятельности </w:t>
            </w:r>
            <w:r w:rsidR="00640B60">
              <w:rPr>
                <w:rFonts w:ascii="Times New Roman" w:eastAsia="Times New Roman" w:hAnsi="Times New Roman"/>
                <w:sz w:val="20"/>
                <w:szCs w:val="20"/>
              </w:rPr>
              <w:t>«</w:t>
            </w:r>
            <w:r w:rsidRPr="00274E4C">
              <w:rPr>
                <w:rFonts w:ascii="Times New Roman" w:eastAsia="Times New Roman" w:hAnsi="Times New Roman"/>
                <w:sz w:val="20"/>
                <w:szCs w:val="20"/>
              </w:rPr>
              <w:t>Обеспечение деятельности муниципальных органов местного самоуправления</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25 835,3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25 753,3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14 274,2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14 107,5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14 107,5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40 1 01 02040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166,7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Председатель представительного органа муниципального образования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40 1 01 02110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5 150,5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40 1 01 02120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1 004,2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40 1 01 02250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4 992,3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Прочие мероприятия органов местного самоуправления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332,1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302,1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Уплата налогов, сборов и иных платежей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40 1 01 02400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850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30,0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Исполнение отдельных полномочий Думы города Пыть-Яха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82,0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240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22,0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Социальное обеспечение и иные выплаты населению</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Публичные нормативные выплаты гражданам несоциального характера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40 1 02 72020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330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60,0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Непрограммное направление деятельности </w:t>
            </w:r>
            <w:r w:rsidR="00640B60">
              <w:rPr>
                <w:rFonts w:ascii="Times New Roman" w:eastAsia="Times New Roman" w:hAnsi="Times New Roman"/>
                <w:sz w:val="20"/>
                <w:szCs w:val="20"/>
              </w:rPr>
              <w:t>«</w:t>
            </w:r>
            <w:r w:rsidRPr="00274E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Расходы на выплаты персоналу государственных (муниципальных) органов</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40 2 00 51180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120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5 436,6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 xml:space="preserve">Непрограммное направление деятельности </w:t>
            </w:r>
            <w:r w:rsidR="00640B60">
              <w:rPr>
                <w:rFonts w:ascii="Times New Roman" w:eastAsia="Times New Roman" w:hAnsi="Times New Roman"/>
                <w:sz w:val="20"/>
                <w:szCs w:val="20"/>
              </w:rPr>
              <w:t>«</w:t>
            </w:r>
            <w:r w:rsidRPr="00274E4C">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640B60">
              <w:rPr>
                <w:rFonts w:ascii="Times New Roman" w:eastAsia="Times New Roman" w:hAnsi="Times New Roman"/>
                <w:sz w:val="20"/>
                <w:szCs w:val="20"/>
              </w:rPr>
              <w:t>»</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40 3 00 00000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Условно утверждённые расходы</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 </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Иные бюджетные ассигнования</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800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274E4C" w:rsidTr="00274E4C">
        <w:trPr>
          <w:cantSplit/>
          <w:trHeight w:val="20"/>
        </w:trPr>
        <w:tc>
          <w:tcPr>
            <w:tcW w:w="3451" w:type="pct"/>
            <w:shd w:val="clear" w:color="auto" w:fill="auto"/>
            <w:hideMark/>
          </w:tcPr>
          <w:p w:rsidR="00274E4C" w:rsidRPr="00274E4C" w:rsidRDefault="00274E4C" w:rsidP="00274E4C">
            <w:pPr>
              <w:spacing w:after="0" w:line="240" w:lineRule="auto"/>
              <w:rPr>
                <w:rFonts w:ascii="Times New Roman" w:eastAsia="Times New Roman" w:hAnsi="Times New Roman"/>
                <w:sz w:val="20"/>
                <w:szCs w:val="20"/>
              </w:rPr>
            </w:pPr>
            <w:r w:rsidRPr="00274E4C">
              <w:rPr>
                <w:rFonts w:ascii="Times New Roman" w:eastAsia="Times New Roman" w:hAnsi="Times New Roman"/>
                <w:sz w:val="20"/>
                <w:szCs w:val="20"/>
              </w:rPr>
              <w:t>Резервные средства</w:t>
            </w:r>
          </w:p>
        </w:tc>
        <w:tc>
          <w:tcPr>
            <w:tcW w:w="663"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40 3 00 09990</w:t>
            </w:r>
          </w:p>
        </w:tc>
        <w:tc>
          <w:tcPr>
            <w:tcW w:w="275" w:type="pct"/>
            <w:shd w:val="clear" w:color="auto" w:fill="auto"/>
            <w:noWrap/>
            <w:vAlign w:val="bottom"/>
            <w:hideMark/>
          </w:tcPr>
          <w:p w:rsidR="00274E4C" w:rsidRPr="00274E4C" w:rsidRDefault="00274E4C" w:rsidP="00274E4C">
            <w:pPr>
              <w:spacing w:after="0" w:line="240" w:lineRule="auto"/>
              <w:jc w:val="center"/>
              <w:rPr>
                <w:rFonts w:ascii="Times New Roman" w:eastAsia="Times New Roman" w:hAnsi="Times New Roman"/>
                <w:sz w:val="20"/>
                <w:szCs w:val="20"/>
              </w:rPr>
            </w:pPr>
            <w:r w:rsidRPr="00274E4C">
              <w:rPr>
                <w:rFonts w:ascii="Times New Roman" w:eastAsia="Times New Roman" w:hAnsi="Times New Roman"/>
                <w:sz w:val="20"/>
                <w:szCs w:val="20"/>
              </w:rPr>
              <w:t>870</w:t>
            </w:r>
          </w:p>
        </w:tc>
        <w:tc>
          <w:tcPr>
            <w:tcW w:w="611" w:type="pct"/>
            <w:shd w:val="clear" w:color="auto" w:fill="auto"/>
            <w:vAlign w:val="bottom"/>
            <w:hideMark/>
          </w:tcPr>
          <w:p w:rsidR="00274E4C" w:rsidRPr="00274E4C" w:rsidRDefault="00274E4C" w:rsidP="00274E4C">
            <w:pPr>
              <w:spacing w:after="0" w:line="240" w:lineRule="auto"/>
              <w:jc w:val="right"/>
              <w:rPr>
                <w:rFonts w:ascii="Times New Roman" w:eastAsia="Times New Roman" w:hAnsi="Times New Roman"/>
                <w:sz w:val="20"/>
                <w:szCs w:val="20"/>
              </w:rPr>
            </w:pPr>
            <w:r w:rsidRPr="00274E4C">
              <w:rPr>
                <w:rFonts w:ascii="Times New Roman" w:eastAsia="Times New Roman" w:hAnsi="Times New Roman"/>
                <w:sz w:val="20"/>
                <w:szCs w:val="20"/>
              </w:rPr>
              <w:t xml:space="preserve">0,0 </w:t>
            </w:r>
          </w:p>
        </w:tc>
      </w:tr>
      <w:tr w:rsidR="00274E4C" w:rsidRPr="00640B60" w:rsidTr="00274E4C">
        <w:trPr>
          <w:cantSplit/>
          <w:trHeight w:val="20"/>
        </w:trPr>
        <w:tc>
          <w:tcPr>
            <w:tcW w:w="3451" w:type="pct"/>
            <w:shd w:val="clear" w:color="auto" w:fill="auto"/>
            <w:noWrap/>
            <w:hideMark/>
          </w:tcPr>
          <w:p w:rsidR="00274E4C" w:rsidRPr="00640B60" w:rsidRDefault="00274E4C" w:rsidP="00274E4C">
            <w:pPr>
              <w:spacing w:after="0" w:line="240" w:lineRule="auto"/>
              <w:rPr>
                <w:rFonts w:ascii="Times New Roman" w:eastAsia="Times New Roman" w:hAnsi="Times New Roman"/>
                <w:bCs/>
                <w:sz w:val="20"/>
                <w:szCs w:val="20"/>
              </w:rPr>
            </w:pPr>
            <w:r w:rsidRPr="00640B60">
              <w:rPr>
                <w:rFonts w:ascii="Times New Roman" w:eastAsia="Times New Roman" w:hAnsi="Times New Roman"/>
                <w:bCs/>
                <w:sz w:val="20"/>
                <w:szCs w:val="20"/>
              </w:rPr>
              <w:t>Всего</w:t>
            </w:r>
          </w:p>
        </w:tc>
        <w:tc>
          <w:tcPr>
            <w:tcW w:w="663"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275" w:type="pct"/>
            <w:shd w:val="clear" w:color="auto" w:fill="auto"/>
            <w:noWrap/>
            <w:vAlign w:val="bottom"/>
            <w:hideMark/>
          </w:tcPr>
          <w:p w:rsidR="00274E4C" w:rsidRPr="00640B60" w:rsidRDefault="00274E4C" w:rsidP="00274E4C">
            <w:pPr>
              <w:spacing w:after="0" w:line="240" w:lineRule="auto"/>
              <w:jc w:val="center"/>
              <w:rPr>
                <w:rFonts w:ascii="Times New Roman" w:eastAsia="Times New Roman" w:hAnsi="Times New Roman"/>
                <w:bCs/>
                <w:sz w:val="20"/>
                <w:szCs w:val="20"/>
              </w:rPr>
            </w:pPr>
            <w:r w:rsidRPr="00640B60">
              <w:rPr>
                <w:rFonts w:ascii="Times New Roman" w:eastAsia="Times New Roman" w:hAnsi="Times New Roman"/>
                <w:bCs/>
                <w:sz w:val="20"/>
                <w:szCs w:val="20"/>
              </w:rPr>
              <w:t> </w:t>
            </w:r>
          </w:p>
        </w:tc>
        <w:tc>
          <w:tcPr>
            <w:tcW w:w="611" w:type="pct"/>
            <w:shd w:val="clear" w:color="auto" w:fill="auto"/>
            <w:vAlign w:val="bottom"/>
            <w:hideMark/>
          </w:tcPr>
          <w:p w:rsidR="00274E4C" w:rsidRPr="00640B60" w:rsidRDefault="00274E4C" w:rsidP="00274E4C">
            <w:pPr>
              <w:spacing w:after="0" w:line="240" w:lineRule="auto"/>
              <w:jc w:val="right"/>
              <w:rPr>
                <w:rFonts w:ascii="Times New Roman" w:eastAsia="Times New Roman" w:hAnsi="Times New Roman"/>
                <w:bCs/>
                <w:sz w:val="20"/>
                <w:szCs w:val="20"/>
              </w:rPr>
            </w:pPr>
            <w:r w:rsidRPr="00640B60">
              <w:rPr>
                <w:rFonts w:ascii="Times New Roman" w:eastAsia="Times New Roman" w:hAnsi="Times New Roman"/>
                <w:bCs/>
                <w:sz w:val="20"/>
                <w:szCs w:val="20"/>
              </w:rPr>
              <w:t>4 062 056,8</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78B" w:rsidRPr="00493152" w:rsidRDefault="00640B60" w:rsidP="00C872CB">
                            <w:pPr>
                              <w:rPr>
                                <w:rFonts w:ascii="Times New Roman" w:hAnsi="Times New Roman"/>
                                <w:sz w:val="28"/>
                                <w:szCs w:val="28"/>
                              </w:rPr>
                            </w:pPr>
                            <w:r>
                              <w:rPr>
                                <w:rFonts w:ascii="Times New Roman" w:hAnsi="Times New Roman"/>
                                <w:sz w:val="28"/>
                                <w:szCs w:val="28"/>
                              </w:rPr>
                              <w:t xml:space="preserve"> </w:t>
                            </w:r>
                            <w:r w:rsidR="0083078B"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83078B" w:rsidRPr="00493152" w:rsidRDefault="00640B60" w:rsidP="00C872CB">
                      <w:pPr>
                        <w:rPr>
                          <w:rFonts w:ascii="Times New Roman" w:hAnsi="Times New Roman"/>
                          <w:sz w:val="28"/>
                          <w:szCs w:val="28"/>
                        </w:rPr>
                      </w:pPr>
                      <w:r>
                        <w:rPr>
                          <w:rFonts w:ascii="Times New Roman" w:hAnsi="Times New Roman"/>
                          <w:sz w:val="28"/>
                          <w:szCs w:val="28"/>
                        </w:rPr>
                        <w:t xml:space="preserve"> </w:t>
                      </w:r>
                      <w:r w:rsidR="0083078B" w:rsidRPr="00493152">
                        <w:rPr>
                          <w:rFonts w:ascii="Times New Roman" w:hAnsi="Times New Roman"/>
                          <w:sz w:val="28"/>
                          <w:szCs w:val="28"/>
                        </w:rPr>
                        <w:t>».</w:t>
                      </w:r>
                    </w:p>
                  </w:txbxContent>
                </v:textbox>
                <w10:wrap anchorx="margin"/>
              </v:rect>
            </w:pict>
          </mc:Fallback>
        </mc:AlternateContent>
      </w:r>
    </w:p>
    <w:sectPr w:rsidR="00786BC3" w:rsidSect="00640B60">
      <w:headerReference w:type="even" r:id="rId8"/>
      <w:headerReference w:type="default" r:id="rId9"/>
      <w:pgSz w:w="11906" w:h="16838"/>
      <w:pgMar w:top="567" w:right="851" w:bottom="567" w:left="851" w:header="283" w:footer="283"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BE" w:rsidRDefault="00146DBE" w:rsidP="00E619A7">
      <w:pPr>
        <w:spacing w:after="0" w:line="240" w:lineRule="auto"/>
      </w:pPr>
      <w:r>
        <w:separator/>
      </w:r>
    </w:p>
  </w:endnote>
  <w:endnote w:type="continuationSeparator" w:id="0">
    <w:p w:rsidR="00146DBE" w:rsidRDefault="00146DB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BE" w:rsidRDefault="00146DBE" w:rsidP="00E619A7">
      <w:pPr>
        <w:spacing w:after="0" w:line="240" w:lineRule="auto"/>
      </w:pPr>
      <w:r>
        <w:separator/>
      </w:r>
    </w:p>
  </w:footnote>
  <w:footnote w:type="continuationSeparator" w:id="0">
    <w:p w:rsidR="00146DBE" w:rsidRDefault="00146DB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Default="0083078B"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3078B" w:rsidRDefault="0083078B"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Pr="00640B60" w:rsidRDefault="0083078B" w:rsidP="00C855BC">
    <w:pPr>
      <w:pStyle w:val="a5"/>
      <w:framePr w:wrap="around" w:vAnchor="text" w:hAnchor="margin" w:xAlign="right" w:y="1"/>
      <w:rPr>
        <w:rStyle w:val="a9"/>
        <w:rFonts w:ascii="Times New Roman" w:hAnsi="Times New Roman"/>
        <w:sz w:val="24"/>
        <w:szCs w:val="24"/>
      </w:rPr>
    </w:pPr>
    <w:r w:rsidRPr="00640B60">
      <w:rPr>
        <w:rStyle w:val="a9"/>
        <w:rFonts w:ascii="Times New Roman" w:hAnsi="Times New Roman"/>
        <w:sz w:val="24"/>
        <w:szCs w:val="24"/>
      </w:rPr>
      <w:fldChar w:fldCharType="begin"/>
    </w:r>
    <w:r w:rsidRPr="00640B60">
      <w:rPr>
        <w:rStyle w:val="a9"/>
        <w:rFonts w:ascii="Times New Roman" w:hAnsi="Times New Roman"/>
        <w:sz w:val="24"/>
        <w:szCs w:val="24"/>
      </w:rPr>
      <w:instrText xml:space="preserve">PAGE  </w:instrText>
    </w:r>
    <w:r w:rsidRPr="00640B60">
      <w:rPr>
        <w:rStyle w:val="a9"/>
        <w:rFonts w:ascii="Times New Roman" w:hAnsi="Times New Roman"/>
        <w:sz w:val="24"/>
        <w:szCs w:val="24"/>
      </w:rPr>
      <w:fldChar w:fldCharType="separate"/>
    </w:r>
    <w:r w:rsidR="00B275EF">
      <w:rPr>
        <w:rStyle w:val="a9"/>
        <w:rFonts w:ascii="Times New Roman" w:hAnsi="Times New Roman"/>
        <w:noProof/>
        <w:sz w:val="24"/>
        <w:szCs w:val="24"/>
      </w:rPr>
      <w:t>46</w:t>
    </w:r>
    <w:r w:rsidRPr="00640B60">
      <w:rPr>
        <w:rStyle w:val="a9"/>
        <w:rFonts w:ascii="Times New Roman" w:hAnsi="Times New Roman"/>
        <w:sz w:val="24"/>
        <w:szCs w:val="24"/>
      </w:rPr>
      <w:fldChar w:fldCharType="end"/>
    </w:r>
  </w:p>
  <w:p w:rsidR="0083078B" w:rsidRDefault="0083078B"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46DBE"/>
    <w:rsid w:val="001915A0"/>
    <w:rsid w:val="00195E56"/>
    <w:rsid w:val="001D0B8E"/>
    <w:rsid w:val="002238FA"/>
    <w:rsid w:val="00235214"/>
    <w:rsid w:val="00255EA7"/>
    <w:rsid w:val="00274E4C"/>
    <w:rsid w:val="002B68CB"/>
    <w:rsid w:val="002C7D35"/>
    <w:rsid w:val="002E5C59"/>
    <w:rsid w:val="003336DF"/>
    <w:rsid w:val="00397596"/>
    <w:rsid w:val="003D5DE2"/>
    <w:rsid w:val="004024AA"/>
    <w:rsid w:val="00434C39"/>
    <w:rsid w:val="00493152"/>
    <w:rsid w:val="004B37EE"/>
    <w:rsid w:val="004D4C19"/>
    <w:rsid w:val="00560043"/>
    <w:rsid w:val="005C7C66"/>
    <w:rsid w:val="00615C20"/>
    <w:rsid w:val="00640B60"/>
    <w:rsid w:val="00687140"/>
    <w:rsid w:val="006A3B70"/>
    <w:rsid w:val="006C47E0"/>
    <w:rsid w:val="006D3B12"/>
    <w:rsid w:val="00742838"/>
    <w:rsid w:val="0075166D"/>
    <w:rsid w:val="00760158"/>
    <w:rsid w:val="00786BC3"/>
    <w:rsid w:val="007E6680"/>
    <w:rsid w:val="00806D23"/>
    <w:rsid w:val="0083078B"/>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B275EF"/>
    <w:rsid w:val="00C05FD1"/>
    <w:rsid w:val="00C504C0"/>
    <w:rsid w:val="00C855BC"/>
    <w:rsid w:val="00C86021"/>
    <w:rsid w:val="00C872CB"/>
    <w:rsid w:val="00C87772"/>
    <w:rsid w:val="00CA3DE1"/>
    <w:rsid w:val="00D14C61"/>
    <w:rsid w:val="00D17E1A"/>
    <w:rsid w:val="00D330B1"/>
    <w:rsid w:val="00D40128"/>
    <w:rsid w:val="00D4538F"/>
    <w:rsid w:val="00DE490E"/>
    <w:rsid w:val="00E619A7"/>
    <w:rsid w:val="00E653EB"/>
    <w:rsid w:val="00ED3848"/>
    <w:rsid w:val="00F242EE"/>
    <w:rsid w:val="00F511B0"/>
    <w:rsid w:val="00F7340D"/>
    <w:rsid w:val="00F83EFB"/>
    <w:rsid w:val="00F96723"/>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188956-E56A-4AAD-A5EC-62DFD7E7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35395219">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dm.gov86.org/files/2021/fincom/reshenie-dumy-goroda-ot-10-12-2021-N-32-o-byudzhete-goroda-pyt-yakha-na-2022-god-i-na-planovyy-period-2023-i-2024-godov.r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CE1F8-3C7C-4E21-AEB0-F4DEBDCE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14666</Words>
  <Characters>83599</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Екатерина Вагина</cp:lastModifiedBy>
  <cp:revision>4</cp:revision>
  <cp:lastPrinted>2022-02-08T10:04:00Z</cp:lastPrinted>
  <dcterms:created xsi:type="dcterms:W3CDTF">2022-02-02T04:47:00Z</dcterms:created>
  <dcterms:modified xsi:type="dcterms:W3CDTF">2022-06-27T11:45:00Z</dcterms:modified>
</cp:coreProperties>
</file>